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o </w:t>
            </w:r>
            <w:r w:rsidR="0022487D">
              <w:rPr>
                <w:rFonts w:ascii="Times New Roman" w:hAnsi="Times New Roman"/>
                <w:b/>
                <w:sz w:val="24"/>
                <w:szCs w:val="24"/>
              </w:rPr>
              <w:t>općinskim porezima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Općine Gornja Rijeka</w:t>
            </w:r>
          </w:p>
          <w:p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22487D" w:rsidP="0022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ožujka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704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 ožujka 2017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>Dana 6. prosinca 2016.godine Hrvatski sabor donio je Zakon o lokalnim porezima koji je  objavljen u „Narodnim novinama“ broj 115/16.( u daljnjem tekstu:Zakon ), a koji je stupio na snagu l. siječnja 2017. godine, osim odredbi članaka 30.- 40. i članaka 50. i 51. koji stupanju na snagu l. siječnja 2018.godine.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>Članak 1. Zakona o lokalnim porezima propisuje da se istim utvrđuje sustav utvrđivanja  i naplate lokalnih poreza kao izvora financiranja jedinica lokalne i područne (regionalne) samouprave.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Člankom 20. stavkom l. propisani su porezi koje mogu uvesti jedinice lokalne samouprave i to: 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l. prirez porezu na dohodak 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2. porez na potrošnju 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>3. porez na kuće za odmor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4. porez na korištenje javnih površina. 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Temeljem navedeno članka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Općina Gornja Rijeka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 je u članku 2. predložene Odluke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općinskim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 porezima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Gornja Rijeka propisala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 slijedeće : „Opć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  pripadaju sljedeći porezi: Porez na potrošnju, 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>Porez na kuće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odmor, 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>Porez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korištenje javnih površina, Porez na nekretnine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U odnosu na do sada važeću Odluku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općinskim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 porezima nema više poreza na tvrtku. </w:t>
            </w: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7D" w:rsidRPr="0022487D" w:rsidRDefault="0022487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20. s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>tavak 2. istog Zakona propisuje „Jedinice lokalne samouprave dužne su uvesti i naplaćivati porez na nekretnine.“ Obzirom da odredbe Zakona koje uređuju porez na nekretnine od članka 30. do članka 40. stupaju na snagu l. siječnja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isto</w:t>
            </w:r>
            <w:r w:rsidRPr="0022487D">
              <w:rPr>
                <w:rFonts w:ascii="Times New Roman" w:hAnsi="Times New Roman" w:cs="Times New Roman"/>
                <w:sz w:val="24"/>
                <w:szCs w:val="24"/>
              </w:rPr>
              <w:t xml:space="preserve"> će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propisati posebnom Odlukom Općinskog vijeća Općine Gornja Rijeka.</w:t>
            </w:r>
          </w:p>
          <w:p w:rsidR="007049FD" w:rsidRPr="00990DD0" w:rsidRDefault="007049FD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22487D">
        <w:rPr>
          <w:rFonts w:ascii="Times New Roman" w:hAnsi="Times New Roman"/>
          <w:sz w:val="24"/>
          <w:szCs w:val="24"/>
        </w:rPr>
        <w:t xml:space="preserve"> 27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7049FD">
        <w:rPr>
          <w:rFonts w:ascii="Times New Roman" w:hAnsi="Times New Roman"/>
          <w:sz w:val="24"/>
          <w:szCs w:val="24"/>
        </w:rPr>
        <w:t>ožujka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>2017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o </w:t>
      </w:r>
      <w:r w:rsidR="0022487D">
        <w:rPr>
          <w:rFonts w:ascii="Times New Roman" w:hAnsi="Times New Roman"/>
          <w:sz w:val="24"/>
          <w:szCs w:val="24"/>
        </w:rPr>
        <w:t>općinskim porezima</w:t>
      </w:r>
      <w:r w:rsidR="007049FD">
        <w:rPr>
          <w:rFonts w:ascii="Times New Roman" w:hAnsi="Times New Roman"/>
          <w:sz w:val="24"/>
          <w:szCs w:val="24"/>
        </w:rPr>
        <w:t xml:space="preserve">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22487D" w:rsidRDefault="008F19F7" w:rsidP="002248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>Odluke o ugostiteljskoj djelatnosti na području Općine Gornja Rijeka.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22487D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36" w:rsidRDefault="00DE3336" w:rsidP="002342F3">
      <w:pPr>
        <w:spacing w:after="0" w:line="240" w:lineRule="auto"/>
      </w:pPr>
      <w:r>
        <w:separator/>
      </w:r>
    </w:p>
  </w:endnote>
  <w:endnote w:type="continuationSeparator" w:id="0">
    <w:p w:rsidR="00DE3336" w:rsidRDefault="00DE333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36" w:rsidRDefault="00DE3336" w:rsidP="002342F3">
      <w:pPr>
        <w:spacing w:after="0" w:line="240" w:lineRule="auto"/>
      </w:pPr>
      <w:r>
        <w:separator/>
      </w:r>
    </w:p>
  </w:footnote>
  <w:footnote w:type="continuationSeparator" w:id="0">
    <w:p w:rsidR="00DE3336" w:rsidRDefault="00DE333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846A-24A3-4689-9E48-927202ED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cp:lastPrinted>2016-10-11T10:47:00Z</cp:lastPrinted>
  <dcterms:created xsi:type="dcterms:W3CDTF">2017-03-23T06:53:00Z</dcterms:created>
  <dcterms:modified xsi:type="dcterms:W3CDTF">2017-03-23T06:53:00Z</dcterms:modified>
</cp:coreProperties>
</file>